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24C" w:rsidRPr="0015124C" w:rsidRDefault="0015124C" w:rsidP="0015124C">
      <w:pPr>
        <w:spacing w:after="0" w:line="360" w:lineRule="auto"/>
        <w:rPr>
          <w:rFonts w:ascii="Verdana" w:hAnsi="Verdana"/>
          <w:b/>
          <w:sz w:val="20"/>
          <w:szCs w:val="20"/>
        </w:rPr>
      </w:pPr>
      <w:r w:rsidRPr="0015124C">
        <w:rPr>
          <w:rFonts w:ascii="Verdana" w:hAnsi="Verdana"/>
          <w:b/>
          <w:sz w:val="20"/>
          <w:szCs w:val="20"/>
        </w:rPr>
        <w:t xml:space="preserve">W AGH badają </w:t>
      </w:r>
      <w:proofErr w:type="spellStart"/>
      <w:r w:rsidRPr="0015124C">
        <w:rPr>
          <w:rFonts w:ascii="Verdana" w:hAnsi="Verdana"/>
          <w:b/>
          <w:sz w:val="20"/>
          <w:szCs w:val="20"/>
        </w:rPr>
        <w:t>fotoprotekcyjny</w:t>
      </w:r>
      <w:proofErr w:type="spellEnd"/>
      <w:r w:rsidRPr="0015124C">
        <w:rPr>
          <w:rFonts w:ascii="Verdana" w:hAnsi="Verdana"/>
          <w:b/>
          <w:sz w:val="20"/>
          <w:szCs w:val="20"/>
        </w:rPr>
        <w:t xml:space="preserve"> potencjał niedawno odkrytej pochodnej witaminy E</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b/>
          <w:sz w:val="20"/>
          <w:szCs w:val="20"/>
        </w:rPr>
      </w:pPr>
      <w:r w:rsidRPr="0015124C">
        <w:rPr>
          <w:rFonts w:ascii="Verdana" w:hAnsi="Verdana"/>
          <w:b/>
          <w:sz w:val="20"/>
          <w:szCs w:val="20"/>
        </w:rPr>
        <w:t>Choć gama związków o działaniu witaminy E jest szeroka, w kosmetykach wykorzystywany jest wyłącznie jeden z nich – α-tokoferol. Dr hab. Renata Szymańska, prof. AGH z Wydziału Fizyki i Informatyki Stosowanej sprawdza, czy skuteczność i stabilność preparatów można polepszyć, zastępując go niedawno odkrytym przez nią homologiem o obiecujących właściwościach.</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Poparzenia skóry to nie jedyny negatywny efekt, jaki może wywołać nadmierna ekspozycja na słońce. Jest ona również przyczyną nadprodukcji reaktywnych form tlenu (RFT), w tym wolnych rodników. Ich destrukcyjne działanie nie daje odczuwalnych skutków natychmiast, ale w dłuższym okresie może powodować niepożądane i groźne zmiany.</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RFT utleniają lipidy tworzące błony komórkowe, a także składniki samych komórek, co ostatecznie może prowadzić do ich śmierci. Następstwem tych procesów jest m.in. powstawanie zmarszczek, będących wynikiem utraty przez skórę pierwotnej integralności i jędrności.  Reaktywne formy tlenu mogą prowadzić również do rakotwórczych mutacji, których źródłem są uszkodzenia w komórkowym DNA.</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RFT swoją destrukcyjną naturę ujawniają jednak dopiero wówczas, kiedy  obecne w komórkach przeciwutleniacze nie mogą efektywnie ich usunąć. Sytuacja, w której równowaga pomiędzy RFT a przeciwutleniaczami zostaje zaburzona, określana jest mianem stresu oksydacyjnego. Aby jej zapobiegać, organizm sam wytwarza liczną gamę antyoksydantów, a jeszcze inne przyswaja wraz z pożywieniem.</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Do tych ostatnich należy witamina E, która posiada bardzo dobrze udokumentowane właściwości przeciwutleniające. Ze względu na te ostatnie, jest również częstym składnikiem kosmetyków do skóry, których zadaniem jest zapewnienie  ochrony przed niepożądanym wpływem promieniowania UV. Jej zaletą jest również dobra rozpuszczalność w tłuszczach, dzięki czemu może być składnikiem popularnych preparatów na bazie emulsji oleju i wody.</w:t>
      </w:r>
    </w:p>
    <w:p w:rsid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b/>
          <w:sz w:val="20"/>
          <w:szCs w:val="20"/>
        </w:rPr>
      </w:pPr>
      <w:r w:rsidRPr="0015124C">
        <w:rPr>
          <w:rFonts w:ascii="Verdana" w:hAnsi="Verdana"/>
          <w:b/>
          <w:sz w:val="20"/>
          <w:szCs w:val="20"/>
        </w:rPr>
        <w:t>Jedna nazwa, wiele związków</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Właściwości witaminy E wykazuje nie jeden, ale aż osiem występujących w naturze związków. Należą do nich α-, β-, γ-, δ-tokoferol oraz α-, β-, γ-, δ-</w:t>
      </w:r>
      <w:proofErr w:type="spellStart"/>
      <w:r w:rsidRPr="0015124C">
        <w:rPr>
          <w:rFonts w:ascii="Verdana" w:hAnsi="Verdana"/>
          <w:sz w:val="20"/>
          <w:szCs w:val="20"/>
        </w:rPr>
        <w:t>tokotrienol</w:t>
      </w:r>
      <w:proofErr w:type="spellEnd"/>
      <w:r w:rsidRPr="0015124C">
        <w:rPr>
          <w:rFonts w:ascii="Verdana" w:hAnsi="Verdana"/>
          <w:sz w:val="20"/>
          <w:szCs w:val="20"/>
        </w:rPr>
        <w:t xml:space="preserve">. Wszystkie </w:t>
      </w:r>
      <w:r w:rsidRPr="0015124C">
        <w:rPr>
          <w:rFonts w:ascii="Verdana" w:hAnsi="Verdana"/>
          <w:sz w:val="20"/>
          <w:szCs w:val="20"/>
        </w:rPr>
        <w:lastRenderedPageBreak/>
        <w:t xml:space="preserve">łączy tożsamy schemat budowy, w którym można wyróżnić pierścieniowy układ </w:t>
      </w:r>
      <w:proofErr w:type="spellStart"/>
      <w:r w:rsidRPr="0015124C">
        <w:rPr>
          <w:rFonts w:ascii="Verdana" w:hAnsi="Verdana"/>
          <w:sz w:val="20"/>
          <w:szCs w:val="20"/>
        </w:rPr>
        <w:t>chromanolowy</w:t>
      </w:r>
      <w:proofErr w:type="spellEnd"/>
      <w:r w:rsidRPr="0015124C">
        <w:rPr>
          <w:rFonts w:ascii="Verdana" w:hAnsi="Verdana"/>
          <w:sz w:val="20"/>
          <w:szCs w:val="20"/>
        </w:rPr>
        <w:t xml:space="preserve"> – tzw. głowę, oraz dołączony do niej </w:t>
      </w:r>
      <w:proofErr w:type="spellStart"/>
      <w:r w:rsidRPr="0015124C">
        <w:rPr>
          <w:rFonts w:ascii="Verdana" w:hAnsi="Verdana"/>
          <w:sz w:val="20"/>
          <w:szCs w:val="20"/>
        </w:rPr>
        <w:t>izoprenoidowy</w:t>
      </w:r>
      <w:proofErr w:type="spellEnd"/>
      <w:r w:rsidRPr="0015124C">
        <w:rPr>
          <w:rFonts w:ascii="Verdana" w:hAnsi="Verdana"/>
          <w:sz w:val="20"/>
          <w:szCs w:val="20"/>
        </w:rPr>
        <w:t xml:space="preserve"> łańcuch boczny – tzw. ogon.</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xml:space="preserve">Będące homologami tokoferole i </w:t>
      </w:r>
      <w:proofErr w:type="spellStart"/>
      <w:r w:rsidRPr="0015124C">
        <w:rPr>
          <w:rFonts w:ascii="Verdana" w:hAnsi="Verdana"/>
          <w:sz w:val="20"/>
          <w:szCs w:val="20"/>
        </w:rPr>
        <w:t>tokotrienole</w:t>
      </w:r>
      <w:proofErr w:type="spellEnd"/>
      <w:r w:rsidRPr="0015124C">
        <w:rPr>
          <w:rFonts w:ascii="Verdana" w:hAnsi="Verdana"/>
          <w:sz w:val="20"/>
          <w:szCs w:val="20"/>
        </w:rPr>
        <w:t xml:space="preserve"> odróżnia od siebie obecność u tych drugich trzech podwójnych wiązań w łańcuchu bocznym. Poszczególne homologi (α, β, γ, δ) odbiegają natomiast od siebie pozycją i ilością grup metylowych (CH3) tworzących „głowę”.</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Mimo szerokiej grupy dostępnych form witaminy E, w kosmetykach stosowany jest wyłącznie α-tokoferol. Jest on również jedynym homologiem witaminy E, który człowiek dobrze przyswaja wraz z pożywieniem. Jednak ostatnie badania nie tylko pozwoliły wskazać niewykorzystany dotąd potencjał pozostałych związków, ale też dopisać do rodziny witaminy E nowych członków.</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Swój udział ma w tym dr hab. Renata Szymańska, prof. AGH, która w toku pracy doktorskiej przygotowywanej na Uniwersytecie Jagiellońskim opisała dwie nieznane wcześniej formy witaminy E: plastochromanol-8 oraz jego hydroksylową pochodną.</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b/>
          <w:sz w:val="20"/>
          <w:szCs w:val="20"/>
        </w:rPr>
      </w:pPr>
      <w:r w:rsidRPr="0015124C">
        <w:rPr>
          <w:rFonts w:ascii="Verdana" w:hAnsi="Verdana"/>
          <w:b/>
          <w:sz w:val="20"/>
          <w:szCs w:val="20"/>
        </w:rPr>
        <w:t>Nowa pochodna</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xml:space="preserve">– </w:t>
      </w:r>
      <w:proofErr w:type="spellStart"/>
      <w:r w:rsidRPr="0015124C">
        <w:rPr>
          <w:rFonts w:ascii="Verdana" w:hAnsi="Verdana"/>
          <w:sz w:val="20"/>
          <w:szCs w:val="20"/>
        </w:rPr>
        <w:t>Plastochromanol</w:t>
      </w:r>
      <w:proofErr w:type="spellEnd"/>
      <w:r w:rsidRPr="0015124C">
        <w:rPr>
          <w:rFonts w:ascii="Verdana" w:hAnsi="Verdana"/>
          <w:sz w:val="20"/>
          <w:szCs w:val="20"/>
        </w:rPr>
        <w:t xml:space="preserve"> od α-tokoferolu różni się innym układem podstawników w pierścieniu </w:t>
      </w:r>
      <w:proofErr w:type="spellStart"/>
      <w:r w:rsidRPr="0015124C">
        <w:rPr>
          <w:rFonts w:ascii="Verdana" w:hAnsi="Verdana"/>
          <w:sz w:val="20"/>
          <w:szCs w:val="20"/>
        </w:rPr>
        <w:t>chromanolowym</w:t>
      </w:r>
      <w:proofErr w:type="spellEnd"/>
      <w:r w:rsidRPr="0015124C">
        <w:rPr>
          <w:rFonts w:ascii="Verdana" w:hAnsi="Verdana"/>
          <w:sz w:val="20"/>
          <w:szCs w:val="20"/>
        </w:rPr>
        <w:t xml:space="preserve"> oraz posiada dłuższy łańcuch boczny. Ze względu na to nie tylko jest związkiem bardziej stabilnym i lepiej rozpuszczalnym w tłuszczach, ale też skuteczniejszym przeciwutleniaczem – opisuje prof. Renata Szymańska.</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xml:space="preserve">Uczona z AGH dodaje, że </w:t>
      </w:r>
      <w:proofErr w:type="spellStart"/>
      <w:r w:rsidRPr="0015124C">
        <w:rPr>
          <w:rFonts w:ascii="Verdana" w:hAnsi="Verdana"/>
          <w:sz w:val="20"/>
          <w:szCs w:val="20"/>
        </w:rPr>
        <w:t>plastochromanol</w:t>
      </w:r>
      <w:proofErr w:type="spellEnd"/>
      <w:r w:rsidRPr="0015124C">
        <w:rPr>
          <w:rFonts w:ascii="Verdana" w:hAnsi="Verdana"/>
          <w:sz w:val="20"/>
          <w:szCs w:val="20"/>
        </w:rPr>
        <w:t xml:space="preserve"> pod względem budowy pierścienia </w:t>
      </w:r>
      <w:proofErr w:type="spellStart"/>
      <w:r w:rsidRPr="0015124C">
        <w:rPr>
          <w:rFonts w:ascii="Verdana" w:hAnsi="Verdana"/>
          <w:sz w:val="20"/>
          <w:szCs w:val="20"/>
        </w:rPr>
        <w:t>chromanolowego</w:t>
      </w:r>
      <w:proofErr w:type="spellEnd"/>
      <w:r w:rsidRPr="0015124C">
        <w:rPr>
          <w:rFonts w:ascii="Verdana" w:hAnsi="Verdana"/>
          <w:sz w:val="20"/>
          <w:szCs w:val="20"/>
        </w:rPr>
        <w:t xml:space="preserve"> odpowiada γ-homologom witaminy E. Badania dowodzą, że są one skuteczniej wchłaniane i wykorzystywane poprzez skórę niż używany w kosmetykach α-tokoferol (w przypadku przyswajania wraz z pożywieniem ten ostatni pozostaje niezagrożonym liderem).</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Obecnie prof. Szymańska wraz ze swoim zespołem zamierza sprawdzić, czy związek ze względu na dobrze rokującą charakterystykę ma szansę zastąpić α-tokoferol w preparatach chroniących przed promieniowaniem UV. W pracach, których finalnym efektem ma być opracowanie gotowej receptury takiego preparatu, będą ją wspierać dr Aleksandra Orzechowska oraz dr inż. Agnieszka Trela-Makowej, obie z Wydziału Fizyki i Informatyki Stosowanej AGH.</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xml:space="preserve">Projekt „Analiza </w:t>
      </w:r>
      <w:proofErr w:type="spellStart"/>
      <w:r w:rsidRPr="0015124C">
        <w:rPr>
          <w:rFonts w:ascii="Verdana" w:hAnsi="Verdana"/>
          <w:sz w:val="20"/>
          <w:szCs w:val="20"/>
        </w:rPr>
        <w:t>fotoprotekcyjnych</w:t>
      </w:r>
      <w:proofErr w:type="spellEnd"/>
      <w:r w:rsidRPr="0015124C">
        <w:rPr>
          <w:rFonts w:ascii="Verdana" w:hAnsi="Verdana"/>
          <w:sz w:val="20"/>
          <w:szCs w:val="20"/>
        </w:rPr>
        <w:t xml:space="preserve"> właściwości preparatów zawierających kapsułkowane pochodne witaminy E” otrzymał grant uczelniany ze środków „Inicjatywa Doskonałości – Uczelnia Badawcza”.</w:t>
      </w:r>
    </w:p>
    <w:p w:rsid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b/>
          <w:sz w:val="20"/>
          <w:szCs w:val="20"/>
        </w:rPr>
      </w:pPr>
      <w:r w:rsidRPr="0015124C">
        <w:rPr>
          <w:rFonts w:ascii="Verdana" w:hAnsi="Verdana"/>
          <w:b/>
          <w:sz w:val="20"/>
          <w:szCs w:val="20"/>
        </w:rPr>
        <w:t>Jak rozpuścić nierozpuszczalne</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Żeby aktywny związek mógł dobrze spełniać swoją antyoksydacyjną rolę, jego odpowiednia ilość powinna zostać równomiernie rozprowadzona na skórze. Im więc lepiej zostanie rozpuszczony w transportującym go medium, tym skuteczniej będzie działał na całej aplikowanej powierzchni.</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Popularne emulsje dzięki temu, że oprócz olejów zawierają wodę, lepiej się wchłaniają i nie pozostawiają na skórze lepkiego filtra. Co jednak stanowi zaletę dla użytkowników, jest jednocześnie problemem w przypadku umieszczania w ich recepturze witaminy E. Ta ostatnia bowiem, choć świetnie rozpuszcza się w tłuszczach, to kompletnie nie robi tego w wodzie. Tymczasem olej i woda stanowią w emulsjach dwie niełączące się fazy.</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Producenci kosmetyków nauczyli się jednak radzić sobie z tą przeszkodą. Zamiast bezpośrednio rozpuszczać witaminę E w emulsjach, wprowadzają ją do niej z wykorzystaniem specjalnych nośników w postaci lipidowych pęcherzyków, które wiążą aktywny związek. Nie tylko pozwalają one nasycić preparat witaminą E w sposób równomierny, ale też umożliwiają jej działanie na granicy faz.</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xml:space="preserve">Choć ogólne zasady tej techniki są znane, to opracowanie nowej receptury preparatu każdorazowo wymaga indywidualnego podejścia. Uczone z AGH stają przed wyzwaniem połączenie pęcherzyków tłuszczowych z </w:t>
      </w:r>
      <w:proofErr w:type="spellStart"/>
      <w:r w:rsidRPr="0015124C">
        <w:rPr>
          <w:rFonts w:ascii="Verdana" w:hAnsi="Verdana"/>
          <w:sz w:val="20"/>
          <w:szCs w:val="20"/>
        </w:rPr>
        <w:t>plastochromanolem</w:t>
      </w:r>
      <w:proofErr w:type="spellEnd"/>
      <w:r w:rsidRPr="0015124C">
        <w:rPr>
          <w:rFonts w:ascii="Verdana" w:hAnsi="Verdana"/>
          <w:sz w:val="20"/>
          <w:szCs w:val="20"/>
        </w:rPr>
        <w:t xml:space="preserve"> we właściwych proporcjach, a także doboru ich stężenia w całej emulsji w sposób optymalny z punktu widzenia stawianego jej zadania.</w:t>
      </w:r>
    </w:p>
    <w:p w:rsid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b/>
          <w:sz w:val="20"/>
          <w:szCs w:val="20"/>
        </w:rPr>
      </w:pPr>
      <w:r w:rsidRPr="0015124C">
        <w:rPr>
          <w:rFonts w:ascii="Verdana" w:hAnsi="Verdana"/>
          <w:b/>
          <w:sz w:val="20"/>
          <w:szCs w:val="20"/>
        </w:rPr>
        <w:t>Funkcjonalne pęcherzyki</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Jak wyjaśnia prof. Szymańska, najczęściej jako nośników witaminy E używa się liposomów. Ich zaletą jest organiczne pochodzenie, w związku z czym ich stosowanie nie budzi u użytkowników obaw w przeciwieństwie do substancji syntetycznych. Do ich wad należą natomiast wysoki koszt uzyskania oraz niska stabilność – jak wszystkie lipidy same są podatne na utlenianie.</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lastRenderedPageBreak/>
        <w:t xml:space="preserve">Badaczka zamierza wobec tego przetestować w roli nośników </w:t>
      </w:r>
      <w:proofErr w:type="spellStart"/>
      <w:r w:rsidRPr="0015124C">
        <w:rPr>
          <w:rFonts w:ascii="Verdana" w:hAnsi="Verdana"/>
          <w:sz w:val="20"/>
          <w:szCs w:val="20"/>
        </w:rPr>
        <w:t>niosomy</w:t>
      </w:r>
      <w:proofErr w:type="spellEnd"/>
      <w:r w:rsidRPr="0015124C">
        <w:rPr>
          <w:rFonts w:ascii="Verdana" w:hAnsi="Verdana"/>
          <w:sz w:val="20"/>
          <w:szCs w:val="20"/>
        </w:rPr>
        <w:t>, które w jej przekonaniu mogą stanowić zadowalającą w działaniu i mniej kosztowną alternatywę.</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xml:space="preserve">– </w:t>
      </w:r>
      <w:proofErr w:type="spellStart"/>
      <w:r w:rsidRPr="0015124C">
        <w:rPr>
          <w:rFonts w:ascii="Verdana" w:hAnsi="Verdana"/>
          <w:sz w:val="20"/>
          <w:szCs w:val="20"/>
        </w:rPr>
        <w:t>Niosomy</w:t>
      </w:r>
      <w:proofErr w:type="spellEnd"/>
      <w:r w:rsidRPr="0015124C">
        <w:rPr>
          <w:rFonts w:ascii="Verdana" w:hAnsi="Verdana"/>
          <w:sz w:val="20"/>
          <w:szCs w:val="20"/>
        </w:rPr>
        <w:t xml:space="preserve"> stanowią kompromis pomiędzy naturalnością, stabilnością i ceną. Zbudowane są po połowie z cholesterolu i detergentu. Ten ostatni jest tani, a jego neutralność dla organizmu została potwierdzona licznymi badaniami – tłumaczy uczona z AGH.</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b/>
          <w:sz w:val="20"/>
          <w:szCs w:val="20"/>
        </w:rPr>
      </w:pPr>
      <w:r w:rsidRPr="0015124C">
        <w:rPr>
          <w:rFonts w:ascii="Verdana" w:hAnsi="Verdana"/>
          <w:b/>
          <w:sz w:val="20"/>
          <w:szCs w:val="20"/>
        </w:rPr>
        <w:t>Podwójna rola witaminy E</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Prof. Szymańska ma nadzieję, że finalnie uda się uzyskać zamkniętą w kapsułkach kompozycję tłuszczów i substancji aktywnej, który będzie pełnić podwójną rolę – nie tylko chronić przed utlenianiem komórki skóry, ale też sam preparat. Badaczka ma nadzieję, że pozwoli to ograniczyć liczbę sztucznych substancji dodawanych do kosmetyków w celu zapewnienia ich stabilności. Jak bowiem wyjaśnia, wątpliwości budzi nie tylko ich wpływ na zdrowie, ale też sama skuteczność.</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Chcemy sprawdzić, czy działanie zawartego w preparacie związku aktywnego będzie zmieniać się wraz z upływem czasu – czyli jak przechowywanie w warunkach dostępu do światła czy tlenu atmosferycznego wpływa na jego stabilność. Choć producenci informują o terminach przydatności swoich produktów do użycia, to według naszej wiedzy szczegółowe badania dotyczące aktywności w tym czasie związków w nich zawartych nie są prowadzone – mówi.</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xml:space="preserve">Wstępem od opisanych prac będzie jednak sprawdzenie, jak sam </w:t>
      </w:r>
      <w:proofErr w:type="spellStart"/>
      <w:r w:rsidRPr="0015124C">
        <w:rPr>
          <w:rFonts w:ascii="Verdana" w:hAnsi="Verdana"/>
          <w:sz w:val="20"/>
          <w:szCs w:val="20"/>
        </w:rPr>
        <w:t>plastochromanol</w:t>
      </w:r>
      <w:proofErr w:type="spellEnd"/>
      <w:r w:rsidRPr="0015124C">
        <w:rPr>
          <w:rFonts w:ascii="Verdana" w:hAnsi="Verdana"/>
          <w:sz w:val="20"/>
          <w:szCs w:val="20"/>
        </w:rPr>
        <w:t xml:space="preserve"> zachowuje się pod wpływem promieniowania UV na tle innych pochodnych witaminy E. Uczeni będą m.in. oświetlać przygotowane próbki światłem UV, a następnie analizować w nich poziom markerów oksydacyjnych. Różne kombinacje nośników i witamin zostaną poddane testom dopiero na kolejnym etapie.</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Dopiero po tak szczegółowych badaniach zespół zamierza opracować recepturę emulsji, a także sprawdzić w tej roli bazę apteczną wykorzystywaną do produkcji leków recepturowych. Finalnym etapem projektu będzie przetestowanie działania preparatu na linii ludzkich komórek naskórka (</w:t>
      </w:r>
      <w:proofErr w:type="spellStart"/>
      <w:r w:rsidRPr="0015124C">
        <w:rPr>
          <w:rFonts w:ascii="Verdana" w:hAnsi="Verdana"/>
          <w:sz w:val="20"/>
          <w:szCs w:val="20"/>
        </w:rPr>
        <w:t>keratynocytów</w:t>
      </w:r>
      <w:proofErr w:type="spellEnd"/>
      <w:r w:rsidRPr="0015124C">
        <w:rPr>
          <w:rFonts w:ascii="Verdana" w:hAnsi="Verdana"/>
          <w:sz w:val="20"/>
          <w:szCs w:val="20"/>
        </w:rPr>
        <w:t xml:space="preserve">) w celu potwierdzenia jego </w:t>
      </w:r>
      <w:proofErr w:type="spellStart"/>
      <w:r w:rsidRPr="0015124C">
        <w:rPr>
          <w:rFonts w:ascii="Verdana" w:hAnsi="Verdana"/>
          <w:sz w:val="20"/>
          <w:szCs w:val="20"/>
        </w:rPr>
        <w:t>fotoprotekcyjnych</w:t>
      </w:r>
      <w:proofErr w:type="spellEnd"/>
      <w:r w:rsidRPr="0015124C">
        <w:rPr>
          <w:rFonts w:ascii="Verdana" w:hAnsi="Verdana"/>
          <w:sz w:val="20"/>
          <w:szCs w:val="20"/>
        </w:rPr>
        <w:t xml:space="preserve"> właściwości oraz biokompatybilności.</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Zaczynamy badania od najprostszego układu, żeby na późniejszym etapie wiedzieć, co jest efektem działania środowiska, a co skutkiem interakcji pomiędzy poszczególnymi składnikami emulsji – wskazuje prof. Szymańska.</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b/>
          <w:sz w:val="20"/>
          <w:szCs w:val="20"/>
        </w:rPr>
      </w:pPr>
      <w:r w:rsidRPr="0015124C">
        <w:rPr>
          <w:rFonts w:ascii="Verdana" w:hAnsi="Verdana"/>
          <w:b/>
          <w:sz w:val="20"/>
          <w:szCs w:val="20"/>
        </w:rPr>
        <w:t>Nowy spektrofotometr ze środków IDUB</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xml:space="preserve">W badaniach pomoże nowy spektrofotometr dwuwiązkowy UV-VIS, który Wydział Fizyki i Informatyki Stosowanej zakupi ze środków przyznanych z projektu IDUB. Nowe urządzenie nie tylko pozwoli rejestrować fale o długościach odpowiadających bliskiej podczerwieni, ale będzie również posiadało wymienną komorę pomiarową, która pozwala na badanie próbek w bardzo małych objętościach, co przy pracy z </w:t>
      </w:r>
      <w:proofErr w:type="spellStart"/>
      <w:r w:rsidRPr="0015124C">
        <w:rPr>
          <w:rFonts w:ascii="Verdana" w:hAnsi="Verdana"/>
          <w:sz w:val="20"/>
          <w:szCs w:val="20"/>
        </w:rPr>
        <w:t>plastrochromanolem</w:t>
      </w:r>
      <w:proofErr w:type="spellEnd"/>
      <w:r w:rsidRPr="0015124C">
        <w:rPr>
          <w:rFonts w:ascii="Verdana" w:hAnsi="Verdana"/>
          <w:sz w:val="20"/>
          <w:szCs w:val="20"/>
        </w:rPr>
        <w:t xml:space="preserve"> będzie miało niebagatelne znaczenie.</w:t>
      </w:r>
    </w:p>
    <w:p w:rsidR="0015124C" w:rsidRPr="0015124C" w:rsidRDefault="0015124C" w:rsidP="0015124C">
      <w:pPr>
        <w:spacing w:after="0" w:line="360" w:lineRule="auto"/>
        <w:rPr>
          <w:rFonts w:ascii="Verdana" w:hAnsi="Verdana"/>
          <w:sz w:val="20"/>
          <w:szCs w:val="20"/>
        </w:rPr>
      </w:pPr>
    </w:p>
    <w:p w:rsidR="0015124C" w:rsidRPr="0015124C" w:rsidRDefault="0015124C" w:rsidP="0015124C">
      <w:pPr>
        <w:spacing w:after="0" w:line="360" w:lineRule="auto"/>
        <w:rPr>
          <w:rFonts w:ascii="Verdana" w:hAnsi="Verdana"/>
          <w:sz w:val="20"/>
          <w:szCs w:val="20"/>
        </w:rPr>
      </w:pPr>
      <w:r w:rsidRPr="0015124C">
        <w:rPr>
          <w:rFonts w:ascii="Verdana" w:hAnsi="Verdana"/>
          <w:sz w:val="20"/>
          <w:szCs w:val="20"/>
        </w:rPr>
        <w:t xml:space="preserve">Prof. Szymańska: – Homologi tokoferoli i </w:t>
      </w:r>
      <w:proofErr w:type="spellStart"/>
      <w:r w:rsidRPr="0015124C">
        <w:rPr>
          <w:rFonts w:ascii="Verdana" w:hAnsi="Verdana"/>
          <w:sz w:val="20"/>
          <w:szCs w:val="20"/>
        </w:rPr>
        <w:t>tokotrienoli</w:t>
      </w:r>
      <w:proofErr w:type="spellEnd"/>
      <w:r w:rsidRPr="0015124C">
        <w:rPr>
          <w:rFonts w:ascii="Verdana" w:hAnsi="Verdana"/>
          <w:sz w:val="20"/>
          <w:szCs w:val="20"/>
        </w:rPr>
        <w:t xml:space="preserve"> o dużej czystości są dostępne na rynku komercyjnym, natomiast </w:t>
      </w:r>
      <w:proofErr w:type="spellStart"/>
      <w:r w:rsidRPr="0015124C">
        <w:rPr>
          <w:rFonts w:ascii="Verdana" w:hAnsi="Verdana"/>
          <w:sz w:val="20"/>
          <w:szCs w:val="20"/>
        </w:rPr>
        <w:t>plastochromanol</w:t>
      </w:r>
      <w:proofErr w:type="spellEnd"/>
      <w:r w:rsidRPr="0015124C">
        <w:rPr>
          <w:rFonts w:ascii="Verdana" w:hAnsi="Verdana"/>
          <w:sz w:val="20"/>
          <w:szCs w:val="20"/>
        </w:rPr>
        <w:t xml:space="preserve"> sami musimy pozyskiwać z oleju lnianego albo liści kasztanowca, jest więc on dla nas na wagę złota. Chcemy w związku z tym jak najbardziej ograniczyć objętość próbek, ponieważ wraz z jej wzrostem musimy stosować wyższe stężenie </w:t>
      </w:r>
      <w:proofErr w:type="spellStart"/>
      <w:r w:rsidRPr="0015124C">
        <w:rPr>
          <w:rFonts w:ascii="Verdana" w:hAnsi="Verdana"/>
          <w:sz w:val="20"/>
          <w:szCs w:val="20"/>
        </w:rPr>
        <w:t>plastochromanolu</w:t>
      </w:r>
      <w:proofErr w:type="spellEnd"/>
      <w:r w:rsidRPr="0015124C">
        <w:rPr>
          <w:rFonts w:ascii="Verdana" w:hAnsi="Verdana"/>
          <w:sz w:val="20"/>
          <w:szCs w:val="20"/>
        </w:rPr>
        <w:t>, aby uzyskać tożsamy efekt.</w:t>
      </w:r>
    </w:p>
    <w:p w:rsidR="0015124C" w:rsidRPr="0015124C" w:rsidRDefault="0015124C" w:rsidP="0015124C">
      <w:pPr>
        <w:spacing w:after="0" w:line="360" w:lineRule="auto"/>
        <w:rPr>
          <w:rFonts w:ascii="Verdana" w:hAnsi="Verdana"/>
          <w:sz w:val="20"/>
          <w:szCs w:val="20"/>
        </w:rPr>
      </w:pPr>
    </w:p>
    <w:p w:rsidR="00965FD8" w:rsidRPr="0015124C" w:rsidRDefault="0015124C" w:rsidP="0015124C">
      <w:pPr>
        <w:spacing w:after="0" w:line="360" w:lineRule="auto"/>
        <w:rPr>
          <w:rFonts w:ascii="Verdana" w:hAnsi="Verdana"/>
          <w:sz w:val="20"/>
          <w:szCs w:val="20"/>
        </w:rPr>
      </w:pPr>
      <w:r w:rsidRPr="0015124C">
        <w:rPr>
          <w:rFonts w:ascii="Verdana" w:hAnsi="Verdana"/>
          <w:sz w:val="20"/>
          <w:szCs w:val="20"/>
        </w:rPr>
        <w:t>– Wymienna komora w nowym spektrofotometrze, oprócz klasycznych pomiarów próbek o objętości 1-3 ml, umożliwia również badanie próbek o objętości 0,1 ml, dzięki czemu ograniczymy pieniądze i czas niezbędny na ich przygotow</w:t>
      </w:r>
      <w:r>
        <w:rPr>
          <w:rFonts w:ascii="Verdana" w:hAnsi="Verdana"/>
          <w:sz w:val="20"/>
          <w:szCs w:val="20"/>
        </w:rPr>
        <w:t>anie – wyjaśnia badaczka z AGH.</w:t>
      </w:r>
      <w:bookmarkStart w:id="0" w:name="_GoBack"/>
      <w:bookmarkEnd w:id="0"/>
    </w:p>
    <w:sectPr w:rsidR="00965FD8" w:rsidRPr="001512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019"/>
    <w:rsid w:val="00032F75"/>
    <w:rsid w:val="0015124C"/>
    <w:rsid w:val="00395019"/>
    <w:rsid w:val="00567A7D"/>
    <w:rsid w:val="00965F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7447A"/>
  <w15:chartTrackingRefBased/>
  <w15:docId w15:val="{53909820-9999-4977-BAE9-46D9EF62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1397</Words>
  <Characters>8388</Characters>
  <Application>Microsoft Office Word</Application>
  <DocSecurity>0</DocSecurity>
  <Lines>69</Lines>
  <Paragraphs>19</Paragraphs>
  <ScaleCrop>false</ScaleCrop>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Włodarczyk</dc:creator>
  <cp:keywords/>
  <dc:description/>
  <cp:lastModifiedBy>Piotr Włodarczyk</cp:lastModifiedBy>
  <cp:revision>2</cp:revision>
  <dcterms:created xsi:type="dcterms:W3CDTF">2026-01-23T11:12:00Z</dcterms:created>
  <dcterms:modified xsi:type="dcterms:W3CDTF">2026-01-23T11:19:00Z</dcterms:modified>
</cp:coreProperties>
</file>